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8D7AD">
      <w:pPr>
        <w:spacing w:line="360" w:lineRule="auto"/>
        <w:jc w:val="center"/>
        <w:rPr>
          <w:rFonts w:ascii="Times New Roman" w:hAnsi="Times New Roman" w:cs="Times New Roman"/>
          <w:b/>
          <w:bCs/>
          <w:sz w:val="30"/>
          <w:szCs w:val="30"/>
        </w:rPr>
      </w:pPr>
      <w:bookmarkStart w:id="0" w:name="_Toc508093994"/>
      <w:bookmarkStart w:id="1" w:name="_Toc509412862"/>
      <w:r>
        <w:rPr>
          <w:rFonts w:ascii="Times New Roman" w:hAnsi="Times New Roman" w:eastAsia="宋体" w:cs="Times New Roman"/>
          <w:b/>
          <w:bCs/>
          <w:sz w:val="30"/>
          <w:szCs w:val="30"/>
        </w:rPr>
        <w:t>※2025</w:t>
      </w:r>
      <w:r>
        <w:rPr>
          <w:rFonts w:ascii="Times New Roman" w:hAnsi="Times New Roman" w:cs="Times New Roman"/>
          <w:b/>
          <w:bCs/>
          <w:sz w:val="30"/>
          <w:szCs w:val="30"/>
        </w:rPr>
        <w:t>年度广西</w:t>
      </w:r>
      <w:bookmarkEnd w:id="0"/>
      <w:bookmarkEnd w:id="1"/>
      <w:r>
        <w:rPr>
          <w:rFonts w:ascii="Times New Roman" w:hAnsi="Times New Roman" w:cs="Times New Roman"/>
          <w:b/>
          <w:bCs/>
          <w:sz w:val="30"/>
          <w:szCs w:val="30"/>
        </w:rPr>
        <w:t>自然科学奖公示材料（格式）</w:t>
      </w:r>
    </w:p>
    <w:p w14:paraId="6106E370">
      <w:pPr>
        <w:spacing w:line="360" w:lineRule="auto"/>
        <w:rPr>
          <w:rFonts w:ascii="Times New Roman" w:hAnsi="Times New Roman" w:cs="Times New Roman"/>
          <w:sz w:val="24"/>
        </w:rPr>
      </w:pPr>
    </w:p>
    <w:p w14:paraId="26F8918D">
      <w:pPr>
        <w:numPr>
          <w:ilvl w:val="0"/>
          <w:numId w:val="1"/>
        </w:numPr>
        <w:spacing w:line="360" w:lineRule="auto"/>
        <w:rPr>
          <w:rFonts w:ascii="Times New Roman" w:hAnsi="Times New Roman" w:eastAsia="黑体" w:cs="Times New Roman"/>
          <w:b/>
          <w:sz w:val="24"/>
        </w:rPr>
      </w:pPr>
      <w:r>
        <w:rPr>
          <w:rFonts w:ascii="Times New Roman" w:hAnsi="Times New Roman" w:eastAsia="黑体" w:cs="Times New Roman"/>
          <w:b/>
          <w:sz w:val="24"/>
        </w:rPr>
        <w:t>成果名称：</w:t>
      </w:r>
      <w:bookmarkStart w:id="2" w:name="_Hlk134011729"/>
      <w:bookmarkStart w:id="3" w:name="OLE_LINK1"/>
      <w:bookmarkStart w:id="4" w:name="OLE_LINK2"/>
      <w:r>
        <w:rPr>
          <w:rFonts w:hint="eastAsia" w:ascii="Times New Roman" w:eastAsia="黑体"/>
          <w:b/>
          <w:sz w:val="24"/>
        </w:rPr>
        <w:t>广西特种废水厌氧生物处理多维度解毒机制与功能微生物适配性解析</w:t>
      </w:r>
      <w:bookmarkEnd w:id="2"/>
      <w:bookmarkEnd w:id="3"/>
      <w:bookmarkEnd w:id="4"/>
      <w:r>
        <w:rPr>
          <w:rFonts w:ascii="Times New Roman" w:hAnsi="Times New Roman" w:eastAsia="黑体" w:cs="Times New Roman"/>
          <w:bCs/>
          <w:sz w:val="24"/>
        </w:rPr>
        <w:t>（自治区科技成果登记号：</w:t>
      </w:r>
      <w:r>
        <w:rPr>
          <w:rFonts w:hint="eastAsia" w:ascii="Times New Roman" w:eastAsia="黑体"/>
          <w:bCs/>
          <w:sz w:val="24"/>
        </w:rPr>
        <w:t>201815306</w:t>
      </w:r>
      <w:r>
        <w:rPr>
          <w:rFonts w:ascii="Times New Roman" w:hAnsi="Times New Roman" w:eastAsia="黑体" w:cs="Times New Roman"/>
          <w:bCs/>
          <w:sz w:val="24"/>
        </w:rPr>
        <w:t>）</w:t>
      </w:r>
    </w:p>
    <w:p w14:paraId="012C9BB6">
      <w:pPr>
        <w:numPr>
          <w:ilvl w:val="0"/>
          <w:numId w:val="1"/>
        </w:numPr>
        <w:spacing w:line="360" w:lineRule="auto"/>
        <w:rPr>
          <w:rFonts w:ascii="Times New Roman" w:hAnsi="Times New Roman" w:cs="Times New Roman"/>
          <w:sz w:val="24"/>
        </w:rPr>
      </w:pPr>
      <w:r>
        <w:rPr>
          <w:rFonts w:ascii="Times New Roman" w:hAnsi="Times New Roman" w:eastAsia="黑体" w:cs="Times New Roman"/>
          <w:b/>
          <w:sz w:val="24"/>
        </w:rPr>
        <w:t>提名者：</w:t>
      </w:r>
      <w:r>
        <w:rPr>
          <w:rFonts w:ascii="Times New Roman" w:hAnsi="Times New Roman" w:cs="Times New Roman"/>
          <w:sz w:val="24"/>
        </w:rPr>
        <w:t>广西壮族自治区教育厅</w:t>
      </w:r>
    </w:p>
    <w:p w14:paraId="4A308598">
      <w:pPr>
        <w:numPr>
          <w:ilvl w:val="0"/>
          <w:numId w:val="1"/>
        </w:numPr>
        <w:spacing w:line="360" w:lineRule="auto"/>
        <w:rPr>
          <w:rFonts w:ascii="Times New Roman" w:hAnsi="Times New Roman" w:eastAsia="黑体" w:cs="Times New Roman"/>
          <w:b/>
          <w:sz w:val="24"/>
        </w:rPr>
      </w:pPr>
      <w:r>
        <w:rPr>
          <w:rFonts w:ascii="Times New Roman" w:hAnsi="Times New Roman" w:eastAsia="黑体" w:cs="Times New Roman"/>
          <w:b/>
          <w:sz w:val="24"/>
        </w:rPr>
        <w:t>代表性论文（专著）目录（不超过8篇）</w:t>
      </w:r>
    </w:p>
    <w:tbl>
      <w:tblPr>
        <w:tblStyle w:val="7"/>
        <w:tblW w:w="92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01"/>
        <w:gridCol w:w="669"/>
        <w:gridCol w:w="659"/>
        <w:gridCol w:w="732"/>
        <w:gridCol w:w="462"/>
        <w:gridCol w:w="599"/>
        <w:gridCol w:w="525"/>
        <w:gridCol w:w="826"/>
        <w:gridCol w:w="563"/>
        <w:gridCol w:w="618"/>
        <w:gridCol w:w="636"/>
        <w:gridCol w:w="751"/>
        <w:gridCol w:w="919"/>
        <w:gridCol w:w="712"/>
      </w:tblGrid>
      <w:tr w14:paraId="77A53E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4" w:hRule="atLeast"/>
          <w:jc w:val="center"/>
        </w:trPr>
        <w:tc>
          <w:tcPr>
            <w:tcW w:w="601" w:type="dxa"/>
            <w:tcBorders>
              <w:top w:val="single" w:color="auto" w:sz="8" w:space="0"/>
              <w:left w:val="single" w:color="auto" w:sz="8" w:space="0"/>
              <w:bottom w:val="single" w:color="auto" w:sz="4" w:space="0"/>
              <w:right w:val="single" w:color="auto" w:sz="4" w:space="0"/>
            </w:tcBorders>
            <w:tcMar>
              <w:top w:w="0" w:type="dxa"/>
              <w:left w:w="28" w:type="dxa"/>
              <w:bottom w:w="0" w:type="dxa"/>
              <w:right w:w="28" w:type="dxa"/>
            </w:tcMar>
            <w:vAlign w:val="center"/>
          </w:tcPr>
          <w:p w14:paraId="057EAE56">
            <w:pPr>
              <w:adjustRightInd w:val="0"/>
              <w:snapToGrid w:val="0"/>
              <w:spacing w:line="320" w:lineRule="exact"/>
              <w:jc w:val="center"/>
              <w:outlineLvl w:val="1"/>
              <w:rPr>
                <w:rFonts w:ascii="Times New Roman" w:hAnsi="Times New Roman" w:eastAsia="方正黑体_GBK" w:cs="Times New Roman"/>
                <w:snapToGrid w:val="0"/>
                <w:sz w:val="18"/>
                <w:szCs w:val="18"/>
              </w:rPr>
            </w:pPr>
            <w:bookmarkStart w:id="5" w:name="_Toc70090875"/>
            <w:r>
              <w:rPr>
                <w:rFonts w:ascii="Times New Roman" w:hAnsi="Times New Roman" w:eastAsia="方正黑体_GBK" w:cs="Times New Roman"/>
                <w:snapToGrid w:val="0"/>
                <w:sz w:val="18"/>
                <w:szCs w:val="18"/>
              </w:rPr>
              <w:t>排序</w:t>
            </w:r>
            <w:bookmarkEnd w:id="5"/>
          </w:p>
        </w:tc>
        <w:tc>
          <w:tcPr>
            <w:tcW w:w="669"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6CA58102">
            <w:pPr>
              <w:adjustRightInd w:val="0"/>
              <w:snapToGrid w:val="0"/>
              <w:spacing w:line="320" w:lineRule="exact"/>
              <w:jc w:val="center"/>
              <w:outlineLvl w:val="1"/>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类型</w:t>
            </w:r>
          </w:p>
        </w:tc>
        <w:tc>
          <w:tcPr>
            <w:tcW w:w="659"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4BDDC508">
            <w:pPr>
              <w:adjustRightInd w:val="0"/>
              <w:snapToGrid w:val="0"/>
              <w:spacing w:line="320" w:lineRule="exact"/>
              <w:jc w:val="center"/>
              <w:outlineLvl w:val="1"/>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论文专著名称</w:t>
            </w:r>
          </w:p>
        </w:tc>
        <w:tc>
          <w:tcPr>
            <w:tcW w:w="732"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31241250">
            <w:pPr>
              <w:adjustRightInd w:val="0"/>
              <w:snapToGrid w:val="0"/>
              <w:spacing w:line="320" w:lineRule="exact"/>
              <w:jc w:val="center"/>
              <w:outlineLvl w:val="1"/>
              <w:rPr>
                <w:rFonts w:ascii="Times New Roman" w:hAnsi="Times New Roman" w:eastAsia="方正黑体_GBK" w:cs="Times New Roman"/>
                <w:snapToGrid w:val="0"/>
                <w:sz w:val="18"/>
                <w:szCs w:val="18"/>
              </w:rPr>
            </w:pPr>
            <w:bookmarkStart w:id="6" w:name="_Toc70090878"/>
            <w:r>
              <w:rPr>
                <w:rFonts w:ascii="Times New Roman" w:hAnsi="Times New Roman" w:eastAsia="方正黑体_GBK" w:cs="Times New Roman"/>
                <w:snapToGrid w:val="0"/>
                <w:sz w:val="18"/>
                <w:szCs w:val="18"/>
              </w:rPr>
              <w:t>年卷页</w:t>
            </w:r>
            <w:bookmarkEnd w:id="6"/>
            <w:bookmarkStart w:id="7" w:name="_Toc70090879"/>
            <w:bookmarkEnd w:id="7"/>
            <w:r>
              <w:rPr>
                <w:rFonts w:ascii="Times New Roman" w:hAnsi="Times New Roman" w:eastAsia="方正黑体_GBK" w:cs="Times New Roman"/>
                <w:snapToGrid w:val="0"/>
                <w:sz w:val="18"/>
                <w:szCs w:val="18"/>
              </w:rPr>
              <w:t>（</w:t>
            </w:r>
            <w:bookmarkStart w:id="8" w:name="_Toc70090880"/>
            <w:bookmarkEnd w:id="8"/>
            <w:r>
              <w:rPr>
                <w:rFonts w:ascii="Times New Roman" w:hAnsi="Times New Roman" w:eastAsia="方正黑体_GBK" w:cs="Times New Roman"/>
                <w:snapToGrid w:val="0"/>
                <w:sz w:val="18"/>
                <w:szCs w:val="18"/>
              </w:rPr>
              <w:t>版号）</w:t>
            </w:r>
          </w:p>
        </w:tc>
        <w:tc>
          <w:tcPr>
            <w:tcW w:w="462"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6EBCB930">
            <w:pPr>
              <w:adjustRightInd w:val="0"/>
              <w:snapToGrid w:val="0"/>
              <w:spacing w:line="320" w:lineRule="exact"/>
              <w:jc w:val="center"/>
              <w:rPr>
                <w:rFonts w:ascii="Times New Roman" w:hAnsi="Times New Roman" w:eastAsia="方正黑体_GBK" w:cs="Times New Roman"/>
                <w:snapToGrid w:val="0"/>
                <w:sz w:val="18"/>
                <w:szCs w:val="18"/>
              </w:rPr>
            </w:pPr>
            <w:bookmarkStart w:id="9" w:name="_Toc72832406"/>
            <w:r>
              <w:rPr>
                <w:rFonts w:ascii="Times New Roman" w:hAnsi="Times New Roman" w:eastAsia="方正黑体_GBK" w:cs="Times New Roman"/>
                <w:snapToGrid w:val="0"/>
                <w:sz w:val="18"/>
                <w:szCs w:val="18"/>
              </w:rPr>
              <w:t>发表日期</w:t>
            </w:r>
            <w:bookmarkEnd w:id="9"/>
          </w:p>
        </w:tc>
        <w:tc>
          <w:tcPr>
            <w:tcW w:w="599"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344A48F4">
            <w:pPr>
              <w:adjustRightInd w:val="0"/>
              <w:snapToGrid w:val="0"/>
              <w:spacing w:line="320" w:lineRule="exact"/>
              <w:jc w:val="center"/>
              <w:outlineLvl w:val="1"/>
              <w:rPr>
                <w:rFonts w:ascii="Times New Roman" w:hAnsi="Times New Roman" w:eastAsia="方正黑体_GBK" w:cs="Times New Roman"/>
                <w:snapToGrid w:val="0"/>
                <w:sz w:val="18"/>
                <w:szCs w:val="18"/>
              </w:rPr>
            </w:pPr>
            <w:bookmarkStart w:id="10" w:name="_Toc70090886"/>
            <w:r>
              <w:rPr>
                <w:rFonts w:ascii="Times New Roman" w:hAnsi="Times New Roman" w:eastAsia="方正黑体_GBK" w:cs="Times New Roman"/>
                <w:snapToGrid w:val="0"/>
                <w:sz w:val="18"/>
                <w:szCs w:val="18"/>
              </w:rPr>
              <w:t>作者</w:t>
            </w:r>
            <w:bookmarkEnd w:id="10"/>
          </w:p>
        </w:tc>
        <w:tc>
          <w:tcPr>
            <w:tcW w:w="525"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008D3FD9">
            <w:pPr>
              <w:adjustRightInd w:val="0"/>
              <w:snapToGrid w:val="0"/>
              <w:spacing w:line="320" w:lineRule="exact"/>
              <w:jc w:val="center"/>
              <w:outlineLvl w:val="1"/>
              <w:rPr>
                <w:rFonts w:ascii="Times New Roman" w:hAnsi="Times New Roman" w:eastAsia="方正黑体_GBK" w:cs="Times New Roman"/>
                <w:snapToGrid w:val="0"/>
                <w:sz w:val="18"/>
                <w:szCs w:val="18"/>
              </w:rPr>
            </w:pPr>
            <w:bookmarkStart w:id="11" w:name="_Toc72832412"/>
            <w:r>
              <w:rPr>
                <w:rFonts w:ascii="Times New Roman" w:hAnsi="Times New Roman" w:eastAsia="方正黑体_GBK" w:cs="Times New Roman"/>
                <w:snapToGrid w:val="0"/>
                <w:sz w:val="18"/>
                <w:szCs w:val="18"/>
              </w:rPr>
              <w:t>署名单位</w:t>
            </w:r>
            <w:bookmarkEnd w:id="11"/>
          </w:p>
        </w:tc>
        <w:tc>
          <w:tcPr>
            <w:tcW w:w="826"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5DBC1ED2">
            <w:pPr>
              <w:adjustRightInd w:val="0"/>
              <w:snapToGrid w:val="0"/>
              <w:spacing w:line="320" w:lineRule="exact"/>
              <w:jc w:val="center"/>
              <w:outlineLvl w:val="1"/>
              <w:rPr>
                <w:rFonts w:ascii="Times New Roman" w:hAnsi="Times New Roman" w:eastAsia="方正黑体_GBK" w:cs="Times New Roman"/>
                <w:snapToGrid w:val="0"/>
                <w:sz w:val="18"/>
                <w:szCs w:val="18"/>
              </w:rPr>
            </w:pPr>
            <w:bookmarkStart w:id="12" w:name="_Toc70090889"/>
            <w:r>
              <w:rPr>
                <w:rFonts w:ascii="Times New Roman" w:hAnsi="Times New Roman" w:eastAsia="方正黑体_GBK" w:cs="Times New Roman"/>
                <w:snapToGrid w:val="0"/>
                <w:sz w:val="18"/>
                <w:szCs w:val="18"/>
              </w:rPr>
              <w:t>署名第一单位是否为国内单位</w:t>
            </w:r>
          </w:p>
        </w:tc>
        <w:tc>
          <w:tcPr>
            <w:tcW w:w="563"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642E634A">
            <w:pPr>
              <w:adjustRightInd w:val="0"/>
              <w:snapToGrid w:val="0"/>
              <w:spacing w:line="320" w:lineRule="exact"/>
              <w:jc w:val="center"/>
              <w:outlineLvl w:val="1"/>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刊名</w:t>
            </w:r>
            <w:bookmarkEnd w:id="12"/>
            <w:r>
              <w:rPr>
                <w:rFonts w:ascii="Times New Roman" w:hAnsi="Times New Roman" w:eastAsia="方正黑体_GBK" w:cs="Times New Roman"/>
                <w:snapToGrid w:val="0"/>
                <w:sz w:val="18"/>
                <w:szCs w:val="18"/>
              </w:rPr>
              <w:t>（</w:t>
            </w:r>
            <w:r>
              <w:rPr>
                <w:rFonts w:ascii="Times New Roman" w:hAnsi="Times New Roman" w:cs="Times New Roman"/>
                <w:szCs w:val="28"/>
              </w:rPr>
              <w:t>国内</w:t>
            </w:r>
            <w:r>
              <w:rPr>
                <w:rFonts w:ascii="Times New Roman" w:hAnsi="Times New Roman" w:cs="Times New Roman"/>
                <w:szCs w:val="28"/>
                <w:lang w:val="en"/>
              </w:rPr>
              <w:t>/国外期刊</w:t>
            </w:r>
            <w:r>
              <w:rPr>
                <w:rFonts w:ascii="Times New Roman" w:hAnsi="Times New Roman" w:eastAsia="方正黑体_GBK" w:cs="Times New Roman"/>
                <w:snapToGrid w:val="0"/>
                <w:sz w:val="18"/>
                <w:szCs w:val="18"/>
              </w:rPr>
              <w:t>）</w:t>
            </w:r>
          </w:p>
        </w:tc>
        <w:tc>
          <w:tcPr>
            <w:tcW w:w="618"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47492E98">
            <w:pPr>
              <w:adjustRightInd w:val="0"/>
              <w:snapToGrid w:val="0"/>
              <w:spacing w:line="320" w:lineRule="exact"/>
              <w:jc w:val="center"/>
              <w:outlineLvl w:val="1"/>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通讯作者</w:t>
            </w:r>
          </w:p>
        </w:tc>
        <w:tc>
          <w:tcPr>
            <w:tcW w:w="636"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4DCBB330">
            <w:pPr>
              <w:adjustRightInd w:val="0"/>
              <w:snapToGrid w:val="0"/>
              <w:spacing w:line="320" w:lineRule="exact"/>
              <w:jc w:val="center"/>
              <w:outlineLvl w:val="1"/>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他引次数</w:t>
            </w:r>
          </w:p>
        </w:tc>
        <w:tc>
          <w:tcPr>
            <w:tcW w:w="751"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29DE9CF8">
            <w:pPr>
              <w:adjustRightInd w:val="0"/>
              <w:snapToGrid w:val="0"/>
              <w:spacing w:line="320" w:lineRule="exact"/>
              <w:jc w:val="center"/>
              <w:outlineLvl w:val="1"/>
              <w:rPr>
                <w:rFonts w:ascii="Times New Roman" w:hAnsi="Times New Roman" w:eastAsia="方正黑体_GBK" w:cs="Times New Roman"/>
                <w:snapToGrid w:val="0"/>
                <w:sz w:val="18"/>
                <w:szCs w:val="18"/>
              </w:rPr>
            </w:pPr>
            <w:bookmarkStart w:id="13" w:name="_Toc70090890"/>
            <w:r>
              <w:rPr>
                <w:rFonts w:ascii="Times New Roman" w:hAnsi="Times New Roman" w:eastAsia="方正黑体_GBK" w:cs="Times New Roman"/>
                <w:snapToGrid w:val="0"/>
                <w:sz w:val="18"/>
                <w:szCs w:val="18"/>
              </w:rPr>
              <w:t>检索数据库</w:t>
            </w:r>
            <w:bookmarkEnd w:id="13"/>
          </w:p>
        </w:tc>
        <w:tc>
          <w:tcPr>
            <w:tcW w:w="919" w:type="dxa"/>
            <w:tcBorders>
              <w:top w:val="single" w:color="auto" w:sz="8" w:space="0"/>
              <w:left w:val="single" w:color="auto" w:sz="4" w:space="0"/>
              <w:bottom w:val="single" w:color="auto" w:sz="4" w:space="0"/>
              <w:right w:val="single" w:color="auto" w:sz="4" w:space="0"/>
            </w:tcBorders>
            <w:tcMar>
              <w:top w:w="0" w:type="dxa"/>
              <w:left w:w="28" w:type="dxa"/>
              <w:bottom w:w="0" w:type="dxa"/>
              <w:right w:w="28" w:type="dxa"/>
            </w:tcMar>
            <w:vAlign w:val="center"/>
          </w:tcPr>
          <w:p w14:paraId="293F94B7">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前三作者（含通讯作者）署名单位是否包含广西单位</w:t>
            </w:r>
          </w:p>
        </w:tc>
        <w:tc>
          <w:tcPr>
            <w:tcW w:w="712" w:type="dxa"/>
            <w:tcBorders>
              <w:top w:val="single" w:color="auto" w:sz="8" w:space="0"/>
              <w:left w:val="single" w:color="auto" w:sz="4" w:space="0"/>
              <w:bottom w:val="single" w:color="auto" w:sz="4" w:space="0"/>
              <w:right w:val="single" w:color="auto" w:sz="8" w:space="0"/>
            </w:tcBorders>
            <w:tcMar>
              <w:top w:w="0" w:type="dxa"/>
              <w:left w:w="28" w:type="dxa"/>
              <w:bottom w:w="0" w:type="dxa"/>
              <w:right w:w="28" w:type="dxa"/>
            </w:tcMar>
            <w:vAlign w:val="center"/>
          </w:tcPr>
          <w:p w14:paraId="4E462087">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附件</w:t>
            </w:r>
            <w:bookmarkStart w:id="14" w:name="_Toc70090891"/>
            <w:r>
              <w:rPr>
                <w:rFonts w:ascii="Times New Roman" w:hAnsi="Times New Roman" w:eastAsia="方正黑体_GBK" w:cs="Times New Roman"/>
                <w:snapToGrid w:val="0"/>
                <w:sz w:val="18"/>
                <w:szCs w:val="18"/>
              </w:rPr>
              <w:t>编号</w:t>
            </w:r>
            <w:bookmarkEnd w:id="14"/>
          </w:p>
        </w:tc>
      </w:tr>
      <w:tr w14:paraId="46B27B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65F15198">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1</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71D60EC">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2C81CD9">
            <w:pPr>
              <w:adjustRightInd w:val="0"/>
              <w:snapToGrid w:val="0"/>
              <w:jc w:val="center"/>
              <w:outlineLvl w:val="1"/>
              <w:rPr>
                <w:rFonts w:ascii="Times New Roman" w:hAnsi="Times New Roman" w:eastAsia="方正仿宋_GBK" w:cs="Times New Roman"/>
                <w:sz w:val="18"/>
                <w:szCs w:val="18"/>
              </w:rPr>
            </w:pPr>
            <w:r>
              <w:rPr>
                <w:rFonts w:ascii="Times New Roman" w:hAnsi="Times New Roman" w:eastAsia="方正仿宋_GBK" w:cs="Times New Roman"/>
                <w:sz w:val="18"/>
                <w:szCs w:val="18"/>
              </w:rPr>
              <w:t xml:space="preserve">Fe(III) enhances Cr(VI) bioreduction in a MFC-granular sludge coupling </w:t>
            </w:r>
          </w:p>
          <w:p w14:paraId="17B034DA">
            <w:pPr>
              <w:adjustRightInd w:val="0"/>
              <w:snapToGrid w:val="0"/>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system: Experimental evidence and metagenomics analysis</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1E3E533">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20</w:t>
            </w:r>
            <w:r>
              <w:rPr>
                <w:rFonts w:hint="eastAsia" w:ascii="Times New Roman" w:hAnsi="Times New Roman" w:eastAsia="方正仿宋_GBK" w:cs="Times New Roman"/>
                <w:sz w:val="18"/>
                <w:szCs w:val="18"/>
              </w:rPr>
              <w:t>23</w:t>
            </w:r>
            <w:r>
              <w:rPr>
                <w:rFonts w:ascii="Times New Roman" w:hAnsi="Times New Roman" w:eastAsia="方正仿宋_GBK" w:cs="Times New Roman"/>
                <w:sz w:val="18"/>
                <w:szCs w:val="18"/>
              </w:rPr>
              <w:t xml:space="preserve">, </w:t>
            </w:r>
            <w:r>
              <w:rPr>
                <w:rFonts w:hint="eastAsia" w:ascii="Times New Roman" w:hAnsi="Times New Roman" w:eastAsia="方正仿宋_GBK" w:cs="Times New Roman"/>
                <w:sz w:val="18"/>
                <w:szCs w:val="18"/>
              </w:rPr>
              <w:t>235</w:t>
            </w:r>
            <w:r>
              <w:rPr>
                <w:rFonts w:ascii="Times New Roman" w:hAnsi="Times New Roman" w:eastAsia="方正仿宋_GBK" w:cs="Times New Roman"/>
                <w:sz w:val="18"/>
                <w:szCs w:val="18"/>
              </w:rPr>
              <w:t xml:space="preserve">: </w:t>
            </w:r>
            <w:r>
              <w:rPr>
                <w:rFonts w:hint="eastAsia" w:ascii="Times New Roman" w:hAnsi="Times New Roman" w:eastAsia="方正仿宋_GBK" w:cs="Times New Roman"/>
                <w:sz w:val="18"/>
                <w:szCs w:val="18"/>
              </w:rPr>
              <w:t>119863</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9071074">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2</w:t>
            </w:r>
            <w:r>
              <w:rPr>
                <w:rFonts w:ascii="Times New Roman" w:hAnsi="Times New Roman" w:eastAsia="方正仿宋_GBK" w:cs="Times New Roman"/>
                <w:sz w:val="18"/>
                <w:szCs w:val="18"/>
              </w:rPr>
              <w:t>023.3.12</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72B6481">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Chengyuan Su, Yunchuan Xian, Ronghua Qin, et al</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CC5F805">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5D634F8">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17670F3">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Water Research</w:t>
            </w:r>
            <w:r>
              <w:rPr>
                <w:rFonts w:hint="eastAsia" w:ascii="Times New Roman" w:hAnsi="Times New Roman" w:eastAsia="方正仿宋_GBK" w:cs="Times New Roman"/>
                <w:sz w:val="18"/>
                <w:szCs w:val="18"/>
              </w:rPr>
              <w:t>（国外）</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EA67630">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B70CB17">
            <w:pPr>
              <w:adjustRightInd w:val="0"/>
              <w:snapToGrid w:val="0"/>
              <w:spacing w:line="320" w:lineRule="exact"/>
              <w:jc w:val="center"/>
              <w:outlineLvl w:val="1"/>
              <w:rPr>
                <w:rFonts w:hint="eastAsia"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9</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C8CE817">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w:t>
            </w:r>
            <w:r>
              <w:rPr>
                <w:rFonts w:hint="eastAsia" w:ascii="Times New Roman" w:hAnsi="Times New Roman" w:eastAsia="方正仿宋_GBK" w:cs="Times New Roman"/>
                <w:sz w:val="18"/>
                <w:szCs w:val="18"/>
              </w:rPr>
              <w:t xml:space="preserve">eb </w:t>
            </w:r>
            <w:r>
              <w:rPr>
                <w:rFonts w:ascii="Times New Roman" w:hAnsi="Times New Roman" w:eastAsia="方正仿宋_GBK" w:cs="Times New Roman"/>
                <w:sz w:val="18"/>
                <w:szCs w:val="18"/>
              </w:rPr>
              <w:t>of science</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AE052EA">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0FD015CE">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1</w:t>
            </w:r>
          </w:p>
        </w:tc>
      </w:tr>
      <w:tr w14:paraId="31D4D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1CEA2343">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2</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183ED9">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960C613">
            <w:pPr>
              <w:adjustRightInd w:val="0"/>
              <w:snapToGrid w:val="0"/>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Performance and functional microbial communities of denitrification process of a novel MFC-granular sludge coupling system</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C5515EB">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2020, 306: 123173</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6B5002F">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napToGrid w:val="0"/>
                <w:color w:val="000000"/>
                <w:sz w:val="18"/>
                <w:szCs w:val="18"/>
              </w:rPr>
              <w:t>2</w:t>
            </w:r>
            <w:r>
              <w:rPr>
                <w:rFonts w:ascii="Times New Roman" w:hAnsi="Times New Roman" w:eastAsia="方正仿宋_GBK" w:cs="Times New Roman"/>
                <w:snapToGrid w:val="0"/>
                <w:color w:val="000000"/>
                <w:sz w:val="18"/>
                <w:szCs w:val="18"/>
              </w:rPr>
              <w:t>020.3.6</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D152D86">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Qiujin Deng, Chengyuan Su*, Xinya Lu, et al.</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B8B0477">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11AD199">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39C9C64">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Bioresource Technology</w:t>
            </w:r>
            <w:r>
              <w:rPr>
                <w:rFonts w:hint="eastAsia" w:ascii="Times New Roman" w:hAnsi="Times New Roman" w:eastAsia="方正仿宋_GBK" w:cs="Times New Roman"/>
                <w:sz w:val="18"/>
                <w:szCs w:val="18"/>
              </w:rPr>
              <w:t>（国外）</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6CE199A">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8C299A2">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55</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605891E">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w:t>
            </w:r>
            <w:r>
              <w:rPr>
                <w:rFonts w:hint="eastAsia" w:ascii="Times New Roman" w:hAnsi="Times New Roman" w:eastAsia="方正仿宋_GBK" w:cs="Times New Roman"/>
                <w:sz w:val="18"/>
                <w:szCs w:val="18"/>
              </w:rPr>
              <w:t xml:space="preserve">eb </w:t>
            </w:r>
            <w:r>
              <w:rPr>
                <w:rFonts w:ascii="Times New Roman" w:hAnsi="Times New Roman" w:eastAsia="方正仿宋_GBK" w:cs="Times New Roman"/>
                <w:sz w:val="18"/>
                <w:szCs w:val="18"/>
              </w:rPr>
              <w:t>of science</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A8E75F6">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37C34065">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2</w:t>
            </w:r>
          </w:p>
        </w:tc>
      </w:tr>
      <w:tr w14:paraId="7D972E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18E1677B">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3</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F206CF3">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6A8CEC0">
            <w:pPr>
              <w:adjustRightInd w:val="0"/>
              <w:snapToGrid w:val="0"/>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Denitrifying anaerobic methane oxidation process responses to the addition of growth factor betaine in the MFC-granular sludge coupling system: Enhancing mechanism and metagenomic analysis</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7666B3">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2021, 416: 126139</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C5CADA6">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napToGrid w:val="0"/>
                <w:color w:val="000000"/>
                <w:sz w:val="18"/>
                <w:szCs w:val="18"/>
              </w:rPr>
              <w:t>2</w:t>
            </w:r>
            <w:r>
              <w:rPr>
                <w:rFonts w:ascii="Times New Roman" w:hAnsi="Times New Roman" w:eastAsia="方正仿宋_GBK" w:cs="Times New Roman"/>
                <w:snapToGrid w:val="0"/>
                <w:color w:val="000000"/>
                <w:sz w:val="18"/>
                <w:szCs w:val="18"/>
              </w:rPr>
              <w:t>021.5.13</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779502D">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lang w:val="de-DE"/>
              </w:rPr>
              <w:t>Chengyuan Su, Qiujin Deng, Zhengpeng Chen, et al</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D876D06">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F98B537">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851505F">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Journal of Hazardous Materials</w:t>
            </w:r>
            <w:r>
              <w:rPr>
                <w:rFonts w:hint="eastAsia" w:ascii="Times New Roman" w:hAnsi="Times New Roman" w:eastAsia="方正仿宋_GBK" w:cs="Times New Roman"/>
                <w:sz w:val="18"/>
                <w:szCs w:val="18"/>
              </w:rPr>
              <w:t>（国外）</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63BBB7">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EEEDD30">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27</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31FDD4C">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w:t>
            </w:r>
            <w:r>
              <w:rPr>
                <w:rFonts w:hint="eastAsia" w:ascii="Times New Roman" w:hAnsi="Times New Roman" w:eastAsia="方正仿宋_GBK" w:cs="Times New Roman"/>
                <w:sz w:val="18"/>
                <w:szCs w:val="18"/>
              </w:rPr>
              <w:t xml:space="preserve">eb </w:t>
            </w:r>
            <w:r>
              <w:rPr>
                <w:rFonts w:ascii="Times New Roman" w:hAnsi="Times New Roman" w:eastAsia="方正仿宋_GBK" w:cs="Times New Roman"/>
                <w:sz w:val="18"/>
                <w:szCs w:val="18"/>
              </w:rPr>
              <w:t>of science</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C00FDDB">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607AAF49">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3</w:t>
            </w:r>
          </w:p>
        </w:tc>
      </w:tr>
      <w:tr w14:paraId="3038B4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5BACFC83">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4</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89A3BF9">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57D4267">
            <w:pPr>
              <w:adjustRightInd w:val="0"/>
              <w:snapToGrid w:val="0"/>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Application of biochar in a CIC reactor to relieve ammonia nitrogen stress and promote microbial community during food waste treatment</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05131F1">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2019, 209: 353-362</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479EB76">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napToGrid w:val="0"/>
                <w:color w:val="000000"/>
                <w:sz w:val="18"/>
                <w:szCs w:val="18"/>
              </w:rPr>
              <w:t>2</w:t>
            </w:r>
            <w:r>
              <w:rPr>
                <w:rFonts w:ascii="Times New Roman" w:hAnsi="Times New Roman" w:eastAsia="方正仿宋_GBK" w:cs="Times New Roman"/>
                <w:snapToGrid w:val="0"/>
                <w:color w:val="000000"/>
                <w:sz w:val="18"/>
                <w:szCs w:val="18"/>
              </w:rPr>
              <w:t>018.10.26</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3285BBE">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Chengyuan Su, Lijian Zhao, Liming Liao, et al</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DAD68E3">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FDD9833">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3C9C248">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Journal of Cleaner Production</w:t>
            </w:r>
            <w:r>
              <w:rPr>
                <w:rFonts w:hint="eastAsia" w:ascii="Times New Roman" w:hAnsi="Times New Roman" w:eastAsia="方正仿宋_GBK" w:cs="Times New Roman"/>
                <w:sz w:val="18"/>
                <w:szCs w:val="18"/>
              </w:rPr>
              <w:t>（国外）</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7296999">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8BFD5B1">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46</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7900152">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w:t>
            </w:r>
            <w:r>
              <w:rPr>
                <w:rFonts w:hint="eastAsia" w:ascii="Times New Roman" w:hAnsi="Times New Roman" w:eastAsia="方正仿宋_GBK" w:cs="Times New Roman"/>
                <w:sz w:val="18"/>
                <w:szCs w:val="18"/>
              </w:rPr>
              <w:t xml:space="preserve">eb </w:t>
            </w:r>
            <w:r>
              <w:rPr>
                <w:rFonts w:ascii="Times New Roman" w:hAnsi="Times New Roman" w:eastAsia="方正仿宋_GBK" w:cs="Times New Roman"/>
                <w:sz w:val="18"/>
                <w:szCs w:val="18"/>
              </w:rPr>
              <w:t>of science</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05EFDE3">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6D86CAEB">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4</w:t>
            </w:r>
          </w:p>
        </w:tc>
      </w:tr>
      <w:tr w14:paraId="257210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0E5D09C6">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5</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C9F83CC">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BEB036">
            <w:pPr>
              <w:adjustRightInd w:val="0"/>
              <w:snapToGrid w:val="0"/>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Roles of modified biochar in the performance, sludge characteristics, and</w:t>
            </w:r>
            <w:r>
              <w:rPr>
                <w:rFonts w:hint="eastAsia" w:ascii="Times New Roman" w:hAnsi="Times New Roman" w:eastAsia="方正仿宋_GBK" w:cs="Times New Roman"/>
                <w:sz w:val="18"/>
                <w:szCs w:val="18"/>
              </w:rPr>
              <w:t xml:space="preserve"> </w:t>
            </w:r>
            <w:r>
              <w:rPr>
                <w:rFonts w:ascii="Times New Roman" w:hAnsi="Times New Roman" w:eastAsia="方正仿宋_GBK" w:cs="Times New Roman"/>
                <w:sz w:val="18"/>
                <w:szCs w:val="18"/>
              </w:rPr>
              <w:t>microbial community features of anaerobic reactor for treatment</w:t>
            </w:r>
            <w:r>
              <w:rPr>
                <w:rFonts w:hint="eastAsia" w:ascii="Times New Roman" w:hAnsi="Times New Roman" w:eastAsia="方正仿宋_GBK" w:cs="Times New Roman"/>
                <w:sz w:val="18"/>
                <w:szCs w:val="18"/>
              </w:rPr>
              <w:t xml:space="preserve"> </w:t>
            </w:r>
            <w:r>
              <w:rPr>
                <w:rFonts w:ascii="Times New Roman" w:hAnsi="Times New Roman" w:eastAsia="方正仿宋_GBK" w:cs="Times New Roman"/>
                <w:sz w:val="18"/>
                <w:szCs w:val="18"/>
              </w:rPr>
              <w:t>food waste</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D62ADF0">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2021, 770: 144668</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264B8BE">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napToGrid w:val="0"/>
                <w:color w:val="000000"/>
                <w:sz w:val="18"/>
                <w:szCs w:val="18"/>
              </w:rPr>
              <w:t>2</w:t>
            </w:r>
            <w:r>
              <w:rPr>
                <w:rFonts w:ascii="Times New Roman" w:hAnsi="Times New Roman" w:eastAsia="方正仿宋_GBK" w:cs="Times New Roman"/>
                <w:snapToGrid w:val="0"/>
                <w:color w:val="000000"/>
                <w:sz w:val="18"/>
                <w:szCs w:val="18"/>
              </w:rPr>
              <w:t>021.1.21</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644AA62">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Chengyuan Su, Afeng Tao, Lijian Zhao, et al</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A849177">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1948A18">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1E3E2AF">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Science of the Total Environment</w:t>
            </w:r>
            <w:r>
              <w:rPr>
                <w:rFonts w:hint="eastAsia" w:ascii="Times New Roman" w:hAnsi="Times New Roman" w:eastAsia="方正仿宋_GBK" w:cs="Times New Roman"/>
                <w:sz w:val="18"/>
                <w:szCs w:val="18"/>
              </w:rPr>
              <w:t>（国外）</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C181620">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653D550">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39</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3E2E5F0">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w:t>
            </w:r>
            <w:r>
              <w:rPr>
                <w:rFonts w:hint="eastAsia" w:ascii="Times New Roman" w:hAnsi="Times New Roman" w:eastAsia="方正仿宋_GBK" w:cs="Times New Roman"/>
                <w:sz w:val="18"/>
                <w:szCs w:val="18"/>
              </w:rPr>
              <w:t xml:space="preserve">eb </w:t>
            </w:r>
            <w:r>
              <w:rPr>
                <w:rFonts w:ascii="Times New Roman" w:hAnsi="Times New Roman" w:eastAsia="方正仿宋_GBK" w:cs="Times New Roman"/>
                <w:sz w:val="18"/>
                <w:szCs w:val="18"/>
              </w:rPr>
              <w:t>of science</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8B169F3">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5D2CD29D">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5</w:t>
            </w:r>
          </w:p>
        </w:tc>
      </w:tr>
      <w:tr w14:paraId="4D7BDE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7DB8D8BB">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6</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FEB50E">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3261E8">
            <w:pPr>
              <w:widowControl/>
              <w:snapToGrid w:val="0"/>
              <w:jc w:val="center"/>
              <w:rPr>
                <w:rFonts w:ascii="Times New Roman" w:hAnsi="Times New Roman" w:eastAsia="方正仿宋_GBK" w:cs="Times New Roman"/>
                <w:sz w:val="18"/>
                <w:szCs w:val="18"/>
              </w:rPr>
            </w:pPr>
            <w:r>
              <w:rPr>
                <w:rFonts w:ascii="Times New Roman" w:hAnsi="Times New Roman" w:eastAsia="方正仿宋_GBK" w:cs="Times New Roman"/>
                <w:sz w:val="18"/>
                <w:szCs w:val="18"/>
              </w:rPr>
              <w:t>Influence of amoxicillin after pre-treatment on the extracellular polymeric</w:t>
            </w:r>
            <w:r>
              <w:rPr>
                <w:rFonts w:hint="eastAsia" w:ascii="Times New Roman" w:hAnsi="Times New Roman" w:eastAsia="方正仿宋_GBK" w:cs="Times New Roman"/>
                <w:sz w:val="18"/>
                <w:szCs w:val="18"/>
              </w:rPr>
              <w:t xml:space="preserve"> </w:t>
            </w:r>
            <w:r>
              <w:rPr>
                <w:rFonts w:ascii="Times New Roman" w:hAnsi="Times New Roman" w:eastAsia="方正仿宋_GBK" w:cs="Times New Roman"/>
                <w:sz w:val="18"/>
                <w:szCs w:val="18"/>
              </w:rPr>
              <w:t>substances and microbial community of anaerobic granular sludge</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A97C466">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20</w:t>
            </w:r>
            <w:r>
              <w:rPr>
                <w:rFonts w:hint="eastAsia" w:ascii="Times New Roman" w:hAnsi="Times New Roman" w:eastAsia="方正仿宋_GBK" w:cs="Times New Roman"/>
                <w:sz w:val="18"/>
                <w:szCs w:val="18"/>
              </w:rPr>
              <w:t>19,</w:t>
            </w:r>
            <w:r>
              <w:rPr>
                <w:rFonts w:ascii="Times New Roman" w:hAnsi="Times New Roman" w:eastAsia="方正仿宋_GBK" w:cs="Times New Roman"/>
                <w:sz w:val="18"/>
                <w:szCs w:val="18"/>
              </w:rPr>
              <w:t xml:space="preserve"> </w:t>
            </w:r>
            <w:r>
              <w:rPr>
                <w:rFonts w:hint="eastAsia" w:ascii="Times New Roman" w:hAnsi="Times New Roman" w:eastAsia="方正仿宋_GBK" w:cs="Times New Roman"/>
                <w:sz w:val="18"/>
                <w:szCs w:val="18"/>
              </w:rPr>
              <w:t>276:</w:t>
            </w:r>
            <w:r>
              <w:rPr>
                <w:rFonts w:ascii="Times New Roman" w:hAnsi="Times New Roman" w:eastAsia="方正仿宋_GBK" w:cs="Times New Roman"/>
                <w:sz w:val="18"/>
                <w:szCs w:val="18"/>
              </w:rPr>
              <w:t xml:space="preserve"> </w:t>
            </w:r>
            <w:r>
              <w:rPr>
                <w:rFonts w:hint="eastAsia" w:ascii="Times New Roman" w:hAnsi="Times New Roman" w:eastAsia="方正仿宋_GBK" w:cs="Times New Roman"/>
                <w:sz w:val="18"/>
                <w:szCs w:val="18"/>
              </w:rPr>
              <w:t>81-90</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67BEE1">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2</w:t>
            </w:r>
            <w:r>
              <w:rPr>
                <w:rFonts w:ascii="Times New Roman" w:hAnsi="Times New Roman" w:eastAsia="方正仿宋_GBK" w:cs="Times New Roman"/>
                <w:sz w:val="18"/>
                <w:szCs w:val="18"/>
              </w:rPr>
              <w:t>01</w:t>
            </w:r>
            <w:r>
              <w:rPr>
                <w:rFonts w:hint="eastAsia" w:ascii="Times New Roman" w:hAnsi="Times New Roman" w:eastAsia="方正仿宋_GBK" w:cs="Times New Roman"/>
                <w:sz w:val="18"/>
                <w:szCs w:val="18"/>
              </w:rPr>
              <w:t>8</w:t>
            </w:r>
            <w:r>
              <w:rPr>
                <w:rFonts w:ascii="Times New Roman" w:hAnsi="Times New Roman" w:eastAsia="方正仿宋_GBK" w:cs="Times New Roman"/>
                <w:sz w:val="18"/>
                <w:szCs w:val="18"/>
              </w:rPr>
              <w:t>.</w:t>
            </w:r>
            <w:r>
              <w:rPr>
                <w:rFonts w:hint="eastAsia" w:ascii="Times New Roman" w:hAnsi="Times New Roman" w:eastAsia="方正仿宋_GBK" w:cs="Times New Roman"/>
                <w:sz w:val="18"/>
                <w:szCs w:val="18"/>
              </w:rPr>
              <w:t>12</w:t>
            </w:r>
            <w:r>
              <w:rPr>
                <w:rFonts w:ascii="Times New Roman" w:hAnsi="Times New Roman" w:eastAsia="方正仿宋_GBK" w:cs="Times New Roman"/>
                <w:sz w:val="18"/>
                <w:szCs w:val="18"/>
              </w:rPr>
              <w:t>.</w:t>
            </w:r>
            <w:r>
              <w:rPr>
                <w:rFonts w:hint="eastAsia" w:ascii="Times New Roman" w:hAnsi="Times New Roman" w:eastAsia="方正仿宋_GBK" w:cs="Times New Roman"/>
                <w:sz w:val="18"/>
                <w:szCs w:val="18"/>
              </w:rPr>
              <w:t>27</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50500B3">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lang w:val="de-DE"/>
              </w:rPr>
              <w:t>Chengyuan Su , Peng Zheng, Xumeng Lin, et al</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1052F5B">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8A3F8DC">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6CCA696">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Bioresource Technology</w:t>
            </w:r>
            <w:r>
              <w:rPr>
                <w:rFonts w:hint="eastAsia" w:ascii="Times New Roman" w:hAnsi="Times New Roman" w:eastAsia="方正仿宋_GBK" w:cs="Times New Roman"/>
                <w:sz w:val="18"/>
                <w:szCs w:val="18"/>
              </w:rPr>
              <w:t>（国外）</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7E087F1">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2EB3460">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30</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646EB8">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w:t>
            </w:r>
            <w:r>
              <w:rPr>
                <w:rFonts w:hint="eastAsia" w:ascii="Times New Roman" w:hAnsi="Times New Roman" w:eastAsia="方正仿宋_GBK" w:cs="Times New Roman"/>
                <w:sz w:val="18"/>
                <w:szCs w:val="18"/>
              </w:rPr>
              <w:t xml:space="preserve">eb </w:t>
            </w:r>
            <w:r>
              <w:rPr>
                <w:rFonts w:ascii="Times New Roman" w:hAnsi="Times New Roman" w:eastAsia="方正仿宋_GBK" w:cs="Times New Roman"/>
                <w:sz w:val="18"/>
                <w:szCs w:val="18"/>
              </w:rPr>
              <w:t>of science</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30F5138">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3F43104A">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6</w:t>
            </w:r>
          </w:p>
        </w:tc>
      </w:tr>
      <w:tr w14:paraId="2AAB2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680A0AB8">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7</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C59A4E">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1ED4B6">
            <w:pPr>
              <w:adjustRightInd w:val="0"/>
              <w:snapToGrid w:val="0"/>
              <w:jc w:val="center"/>
              <w:outlineLvl w:val="1"/>
              <w:rPr>
                <w:rFonts w:ascii="Times New Roman" w:hAnsi="Times New Roman" w:cs="Times New Roman"/>
                <w:snapToGrid w:val="0"/>
                <w:sz w:val="18"/>
                <w:szCs w:val="18"/>
              </w:rPr>
            </w:pPr>
            <w:r>
              <w:rPr>
                <w:rFonts w:ascii="Times New Roman"/>
                <w:sz w:val="18"/>
                <w:szCs w:val="18"/>
              </w:rPr>
              <w:t>磁性纳米铁对厌氧颗粒污泥特性及其微生物群落的影响</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98831A8">
            <w:pPr>
              <w:adjustRightInd w:val="0"/>
              <w:snapToGrid w:val="0"/>
              <w:spacing w:line="320" w:lineRule="exact"/>
              <w:jc w:val="center"/>
              <w:outlineLvl w:val="1"/>
              <w:rPr>
                <w:rFonts w:ascii="Times New Roman" w:hAnsi="Times New Roman" w:cs="Times New Roman"/>
                <w:snapToGrid w:val="0"/>
                <w:sz w:val="18"/>
                <w:szCs w:val="18"/>
              </w:rPr>
            </w:pPr>
            <w:r>
              <w:rPr>
                <w:rFonts w:ascii="Times New Roman"/>
                <w:sz w:val="18"/>
                <w:szCs w:val="18"/>
              </w:rPr>
              <w:t>2018</w:t>
            </w:r>
            <w:r>
              <w:rPr>
                <w:rFonts w:hint="eastAsia" w:ascii="Times New Roman"/>
                <w:sz w:val="18"/>
                <w:szCs w:val="18"/>
              </w:rPr>
              <w:t>,</w:t>
            </w:r>
            <w:r>
              <w:rPr>
                <w:rFonts w:ascii="Times New Roman"/>
                <w:sz w:val="18"/>
                <w:szCs w:val="18"/>
              </w:rPr>
              <w:t xml:space="preserve"> 39</w:t>
            </w:r>
            <w:r>
              <w:rPr>
                <w:rFonts w:hint="eastAsia" w:ascii="Times New Roman"/>
                <w:sz w:val="18"/>
                <w:szCs w:val="18"/>
              </w:rPr>
              <w:t>（3）</w:t>
            </w:r>
            <w:r>
              <w:rPr>
                <w:rFonts w:ascii="Times New Roman"/>
                <w:sz w:val="18"/>
                <w:szCs w:val="18"/>
              </w:rPr>
              <w:t>: 1316-1324</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5503E31">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napToGrid w:val="0"/>
                <w:color w:val="000000"/>
                <w:sz w:val="18"/>
                <w:szCs w:val="18"/>
              </w:rPr>
              <w:t>2018.3.28</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2479F2E">
            <w:pPr>
              <w:adjustRightInd w:val="0"/>
              <w:snapToGrid w:val="0"/>
              <w:spacing w:line="320" w:lineRule="exact"/>
              <w:jc w:val="center"/>
              <w:outlineLvl w:val="1"/>
              <w:rPr>
                <w:rFonts w:ascii="Times New Roman" w:hAnsi="Times New Roman" w:cs="Times New Roman"/>
                <w:snapToGrid w:val="0"/>
                <w:sz w:val="18"/>
                <w:szCs w:val="18"/>
              </w:rPr>
            </w:pPr>
            <w:r>
              <w:rPr>
                <w:rFonts w:ascii="Times New Roman"/>
                <w:sz w:val="18"/>
                <w:szCs w:val="18"/>
              </w:rPr>
              <w:t>宿程远，郑鹏，卢宇翔，</w:t>
            </w:r>
            <w:r>
              <w:rPr>
                <w:rFonts w:hint="eastAsia" w:ascii="Times New Roman"/>
                <w:sz w:val="18"/>
                <w:szCs w:val="18"/>
              </w:rPr>
              <w:t>等</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696F4BC">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D61FC94">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8DD9B4D">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环境科学（国内）</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F9EE621">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86B3D8">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10</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F26A8C1">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CNKI</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1DC550B">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637DA8F5">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7</w:t>
            </w:r>
          </w:p>
        </w:tc>
      </w:tr>
      <w:tr w14:paraId="0B5FB6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01" w:type="dxa"/>
            <w:tcBorders>
              <w:top w:val="single" w:color="auto" w:sz="4" w:space="0"/>
              <w:left w:val="single" w:color="auto" w:sz="8" w:space="0"/>
              <w:bottom w:val="single" w:color="auto" w:sz="4" w:space="0"/>
              <w:right w:val="single" w:color="auto" w:sz="4" w:space="0"/>
            </w:tcBorders>
            <w:tcMar>
              <w:top w:w="0" w:type="dxa"/>
              <w:left w:w="28" w:type="dxa"/>
              <w:bottom w:w="0" w:type="dxa"/>
              <w:right w:w="28" w:type="dxa"/>
            </w:tcMar>
            <w:vAlign w:val="center"/>
          </w:tcPr>
          <w:p w14:paraId="3EDBC989">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8</w:t>
            </w:r>
          </w:p>
        </w:tc>
        <w:tc>
          <w:tcPr>
            <w:tcW w:w="66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EBD66E5">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z w:val="18"/>
                <w:szCs w:val="18"/>
              </w:rPr>
              <w:t>论文</w:t>
            </w:r>
          </w:p>
        </w:tc>
        <w:tc>
          <w:tcPr>
            <w:tcW w:w="6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099266A">
            <w:pPr>
              <w:adjustRightInd w:val="0"/>
              <w:snapToGrid w:val="0"/>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Effects of hydraulic retention time on the performance and microbial community of an anaerobic baffled reactor-bioelectricity Fenton coupling reactor for treatment of traditional Chinese medicine wastewater</w:t>
            </w:r>
          </w:p>
        </w:tc>
        <w:tc>
          <w:tcPr>
            <w:tcW w:w="73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269378D">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2019, 288: 121508</w:t>
            </w:r>
          </w:p>
        </w:tc>
        <w:tc>
          <w:tcPr>
            <w:tcW w:w="46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956D3F2">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eastAsia="方正仿宋_GBK" w:cs="Times New Roman"/>
                <w:snapToGrid w:val="0"/>
                <w:color w:val="000000"/>
                <w:sz w:val="18"/>
                <w:szCs w:val="18"/>
              </w:rPr>
              <w:t>2</w:t>
            </w:r>
            <w:r>
              <w:rPr>
                <w:rFonts w:ascii="Times New Roman" w:hAnsi="Times New Roman" w:eastAsia="方正仿宋_GBK" w:cs="Times New Roman"/>
                <w:snapToGrid w:val="0"/>
                <w:color w:val="000000"/>
                <w:sz w:val="18"/>
                <w:szCs w:val="18"/>
              </w:rPr>
              <w:t>019.5.18</w:t>
            </w:r>
          </w:p>
        </w:tc>
        <w:tc>
          <w:tcPr>
            <w:tcW w:w="59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75F175E">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lang w:val="de-DE"/>
              </w:rPr>
              <w:t xml:space="preserve">Chengyuan Su, Qiujin Deng, </w:t>
            </w:r>
            <w:r>
              <w:rPr>
                <w:rFonts w:hint="eastAsia" w:ascii="Times New Roman" w:hAnsi="Times New Roman" w:eastAsia="方正仿宋_GBK" w:cs="Times New Roman"/>
                <w:sz w:val="18"/>
                <w:szCs w:val="18"/>
                <w:lang w:val="de-DE"/>
              </w:rPr>
              <w:t xml:space="preserve">Yuxiang </w:t>
            </w:r>
            <w:r>
              <w:rPr>
                <w:rFonts w:ascii="Times New Roman" w:hAnsi="Times New Roman" w:eastAsia="方正仿宋_GBK" w:cs="Times New Roman"/>
                <w:sz w:val="18"/>
                <w:szCs w:val="18"/>
                <w:lang w:val="de-DE"/>
              </w:rPr>
              <w:t>Lu, et al</w:t>
            </w:r>
          </w:p>
        </w:tc>
        <w:tc>
          <w:tcPr>
            <w:tcW w:w="52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830EE88">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广西师范大学</w:t>
            </w:r>
          </w:p>
        </w:tc>
        <w:tc>
          <w:tcPr>
            <w:tcW w:w="82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A4C483">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56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9C4A59D">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Bioresource Technology</w:t>
            </w:r>
            <w:r>
              <w:rPr>
                <w:rFonts w:hint="eastAsia" w:ascii="Times New Roman" w:hAnsi="Times New Roman" w:eastAsia="方正仿宋_GBK" w:cs="Times New Roman"/>
                <w:sz w:val="18"/>
                <w:szCs w:val="18"/>
              </w:rPr>
              <w:t>（国外）</w:t>
            </w:r>
          </w:p>
        </w:tc>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2143A1E">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宿程远</w:t>
            </w:r>
          </w:p>
        </w:tc>
        <w:tc>
          <w:tcPr>
            <w:tcW w:w="63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0666DC8">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32</w:t>
            </w:r>
          </w:p>
        </w:tc>
        <w:tc>
          <w:tcPr>
            <w:tcW w:w="75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C59307E">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eastAsia="方正仿宋_GBK" w:cs="Times New Roman"/>
                <w:sz w:val="18"/>
                <w:szCs w:val="18"/>
              </w:rPr>
              <w:t>W</w:t>
            </w:r>
            <w:r>
              <w:rPr>
                <w:rFonts w:hint="eastAsia" w:ascii="Times New Roman" w:hAnsi="Times New Roman" w:eastAsia="方正仿宋_GBK" w:cs="Times New Roman"/>
                <w:sz w:val="18"/>
                <w:szCs w:val="18"/>
              </w:rPr>
              <w:t xml:space="preserve">eb </w:t>
            </w:r>
            <w:r>
              <w:rPr>
                <w:rFonts w:ascii="Times New Roman" w:hAnsi="Times New Roman" w:eastAsia="方正仿宋_GBK" w:cs="Times New Roman"/>
                <w:sz w:val="18"/>
                <w:szCs w:val="18"/>
              </w:rPr>
              <w:t>of science</w:t>
            </w:r>
          </w:p>
        </w:tc>
        <w:tc>
          <w:tcPr>
            <w:tcW w:w="91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5980A07">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是</w:t>
            </w:r>
          </w:p>
        </w:tc>
        <w:tc>
          <w:tcPr>
            <w:tcW w:w="712" w:type="dxa"/>
            <w:tcBorders>
              <w:top w:val="single" w:color="auto" w:sz="4" w:space="0"/>
              <w:left w:val="single" w:color="auto" w:sz="4" w:space="0"/>
              <w:bottom w:val="single" w:color="auto" w:sz="4" w:space="0"/>
              <w:right w:val="single" w:color="auto" w:sz="8" w:space="0"/>
            </w:tcBorders>
            <w:tcMar>
              <w:top w:w="0" w:type="dxa"/>
              <w:left w:w="28" w:type="dxa"/>
              <w:bottom w:w="0" w:type="dxa"/>
              <w:right w:w="28" w:type="dxa"/>
            </w:tcMar>
            <w:vAlign w:val="center"/>
          </w:tcPr>
          <w:p w14:paraId="4F2DBD3F">
            <w:pPr>
              <w:adjustRightInd w:val="0"/>
              <w:snapToGrid w:val="0"/>
              <w:spacing w:line="320" w:lineRule="exact"/>
              <w:jc w:val="center"/>
              <w:outlineLvl w:val="1"/>
              <w:rPr>
                <w:rFonts w:ascii="Times New Roman" w:hAnsi="Times New Roman" w:cs="Times New Roman"/>
                <w:snapToGrid w:val="0"/>
                <w:sz w:val="18"/>
                <w:szCs w:val="18"/>
              </w:rPr>
            </w:pPr>
            <w:r>
              <w:rPr>
                <w:rFonts w:hint="eastAsia" w:ascii="Times New Roman" w:hAnsi="Times New Roman" w:cs="Times New Roman"/>
                <w:snapToGrid w:val="0"/>
                <w:sz w:val="18"/>
                <w:szCs w:val="18"/>
              </w:rPr>
              <w:t>8</w:t>
            </w:r>
          </w:p>
        </w:tc>
      </w:tr>
      <w:tr w14:paraId="6B740F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636" w:type="dxa"/>
            <w:gridSpan w:val="9"/>
            <w:tcBorders>
              <w:top w:val="single" w:color="auto" w:sz="4" w:space="0"/>
              <w:left w:val="single" w:color="auto" w:sz="8" w:space="0"/>
              <w:bottom w:val="single" w:color="auto" w:sz="8" w:space="0"/>
              <w:right w:val="single" w:color="auto" w:sz="4" w:space="0"/>
            </w:tcBorders>
            <w:vAlign w:val="center"/>
          </w:tcPr>
          <w:p w14:paraId="73810EC4">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合计</w:t>
            </w:r>
          </w:p>
        </w:tc>
        <w:tc>
          <w:tcPr>
            <w:tcW w:w="618" w:type="dxa"/>
            <w:tcBorders>
              <w:top w:val="single" w:color="auto" w:sz="4" w:space="0"/>
              <w:left w:val="single" w:color="auto" w:sz="4" w:space="0"/>
              <w:bottom w:val="single" w:color="auto" w:sz="8" w:space="0"/>
              <w:right w:val="single" w:color="auto" w:sz="4" w:space="0"/>
            </w:tcBorders>
            <w:tcMar>
              <w:top w:w="0" w:type="dxa"/>
              <w:left w:w="28" w:type="dxa"/>
              <w:bottom w:w="0" w:type="dxa"/>
              <w:right w:w="28" w:type="dxa"/>
            </w:tcMar>
            <w:vAlign w:val="center"/>
          </w:tcPr>
          <w:p w14:paraId="68B9A59D">
            <w:pPr>
              <w:adjustRightInd w:val="0"/>
              <w:snapToGrid w:val="0"/>
              <w:spacing w:line="320" w:lineRule="exact"/>
              <w:jc w:val="center"/>
              <w:outlineLvl w:val="1"/>
              <w:rPr>
                <w:rFonts w:ascii="Times New Roman" w:hAnsi="Times New Roman" w:cs="Times New Roman"/>
                <w:snapToGrid w:val="0"/>
                <w:sz w:val="18"/>
                <w:szCs w:val="18"/>
              </w:rPr>
            </w:pPr>
          </w:p>
        </w:tc>
        <w:tc>
          <w:tcPr>
            <w:tcW w:w="636" w:type="dxa"/>
            <w:tcBorders>
              <w:top w:val="single" w:color="auto" w:sz="4" w:space="0"/>
              <w:left w:val="single" w:color="auto" w:sz="4" w:space="0"/>
              <w:bottom w:val="single" w:color="auto" w:sz="8" w:space="0"/>
              <w:right w:val="single" w:color="auto" w:sz="4" w:space="0"/>
            </w:tcBorders>
            <w:tcMar>
              <w:top w:w="0" w:type="dxa"/>
              <w:left w:w="28" w:type="dxa"/>
              <w:bottom w:w="0" w:type="dxa"/>
              <w:right w:w="28" w:type="dxa"/>
            </w:tcMar>
            <w:vAlign w:val="center"/>
          </w:tcPr>
          <w:p w14:paraId="63DE51EF">
            <w:pPr>
              <w:adjustRightInd w:val="0"/>
              <w:snapToGrid w:val="0"/>
              <w:spacing w:line="320" w:lineRule="exact"/>
              <w:jc w:val="center"/>
              <w:outlineLvl w:val="1"/>
              <w:rPr>
                <w:rFonts w:hint="default" w:ascii="Times New Roman" w:hAnsi="Times New Roman" w:cs="Times New Roman" w:eastAsiaTheme="minorEastAsia"/>
                <w:snapToGrid w:val="0"/>
                <w:sz w:val="18"/>
                <w:szCs w:val="18"/>
                <w:lang w:val="en-US" w:eastAsia="zh-CN"/>
              </w:rPr>
            </w:pPr>
            <w:r>
              <w:rPr>
                <w:rFonts w:hint="eastAsia" w:ascii="Times New Roman" w:hAnsi="Times New Roman" w:cs="Times New Roman"/>
                <w:snapToGrid w:val="0"/>
                <w:sz w:val="18"/>
                <w:szCs w:val="18"/>
                <w:lang w:val="en-US" w:eastAsia="zh-CN"/>
              </w:rPr>
              <w:t>248</w:t>
            </w:r>
          </w:p>
        </w:tc>
        <w:tc>
          <w:tcPr>
            <w:tcW w:w="751" w:type="dxa"/>
            <w:tcBorders>
              <w:top w:val="single" w:color="auto" w:sz="4" w:space="0"/>
              <w:left w:val="single" w:color="auto" w:sz="4" w:space="0"/>
              <w:bottom w:val="single" w:color="auto" w:sz="8" w:space="0"/>
              <w:right w:val="single" w:color="auto" w:sz="4" w:space="0"/>
            </w:tcBorders>
            <w:tcMar>
              <w:top w:w="0" w:type="dxa"/>
              <w:left w:w="28" w:type="dxa"/>
              <w:bottom w:w="0" w:type="dxa"/>
              <w:right w:w="28" w:type="dxa"/>
            </w:tcMar>
            <w:vAlign w:val="center"/>
          </w:tcPr>
          <w:p w14:paraId="623CA9A0">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919" w:type="dxa"/>
            <w:tcBorders>
              <w:top w:val="single" w:color="auto" w:sz="4" w:space="0"/>
              <w:left w:val="single" w:color="auto" w:sz="4" w:space="0"/>
              <w:bottom w:val="single" w:color="auto" w:sz="8" w:space="0"/>
              <w:right w:val="single" w:color="auto" w:sz="4" w:space="0"/>
            </w:tcBorders>
            <w:tcMar>
              <w:top w:w="0" w:type="dxa"/>
              <w:left w:w="28" w:type="dxa"/>
              <w:bottom w:w="0" w:type="dxa"/>
              <w:right w:w="28" w:type="dxa"/>
            </w:tcMar>
            <w:vAlign w:val="center"/>
          </w:tcPr>
          <w:p w14:paraId="34AE7D8A">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w:t>
            </w:r>
          </w:p>
        </w:tc>
        <w:tc>
          <w:tcPr>
            <w:tcW w:w="712" w:type="dxa"/>
            <w:tcBorders>
              <w:top w:val="single" w:color="auto" w:sz="4" w:space="0"/>
              <w:left w:val="single" w:color="auto" w:sz="4" w:space="0"/>
              <w:bottom w:val="single" w:color="auto" w:sz="8" w:space="0"/>
              <w:right w:val="single" w:color="auto" w:sz="8" w:space="0"/>
            </w:tcBorders>
            <w:tcMar>
              <w:top w:w="0" w:type="dxa"/>
              <w:left w:w="28" w:type="dxa"/>
              <w:bottom w:w="0" w:type="dxa"/>
              <w:right w:w="28" w:type="dxa"/>
            </w:tcMar>
            <w:vAlign w:val="center"/>
          </w:tcPr>
          <w:p w14:paraId="1B29ABE6">
            <w:pPr>
              <w:adjustRightInd w:val="0"/>
              <w:snapToGrid w:val="0"/>
              <w:spacing w:line="320" w:lineRule="exact"/>
              <w:jc w:val="center"/>
              <w:outlineLvl w:val="1"/>
              <w:rPr>
                <w:rFonts w:ascii="Times New Roman" w:hAnsi="Times New Roman" w:cs="Times New Roman"/>
                <w:snapToGrid w:val="0"/>
                <w:sz w:val="18"/>
                <w:szCs w:val="18"/>
              </w:rPr>
            </w:pPr>
            <w:r>
              <w:rPr>
                <w:rFonts w:ascii="Times New Roman" w:hAnsi="Times New Roman" w:cs="Times New Roman"/>
                <w:snapToGrid w:val="0"/>
                <w:sz w:val="18"/>
                <w:szCs w:val="18"/>
              </w:rPr>
              <w:t>/</w:t>
            </w:r>
          </w:p>
        </w:tc>
      </w:tr>
    </w:tbl>
    <w:p w14:paraId="1EC456D2">
      <w:pPr>
        <w:spacing w:line="406" w:lineRule="exact"/>
        <w:outlineLvl w:val="1"/>
        <w:rPr>
          <w:rFonts w:ascii="Times New Roman" w:hAnsi="Times New Roman" w:cs="Times New Roman"/>
          <w:b/>
          <w:bCs/>
          <w:snapToGrid w:val="0"/>
          <w:sz w:val="28"/>
          <w:szCs w:val="28"/>
        </w:rPr>
      </w:pPr>
      <w:r>
        <w:rPr>
          <w:rFonts w:ascii="Times New Roman" w:hAnsi="Times New Roman" w:eastAsia="宋体" w:cs="Times New Roman"/>
          <w:szCs w:val="21"/>
        </w:rPr>
        <w:t>注：按重要程度排序。一般不超过7篇，如有在国内期刊发表的论文或国内出版的专著，可填不超过8篇。</w:t>
      </w:r>
      <w:bookmarkStart w:id="17" w:name="_GoBack"/>
      <w:bookmarkEnd w:id="17"/>
    </w:p>
    <w:p w14:paraId="04604052">
      <w:pPr>
        <w:spacing w:line="360" w:lineRule="auto"/>
        <w:rPr>
          <w:rFonts w:ascii="Times New Roman" w:hAnsi="Times New Roman" w:eastAsia="黑体" w:cs="Times New Roman"/>
          <w:b/>
          <w:sz w:val="24"/>
        </w:rPr>
      </w:pPr>
      <w:r>
        <w:rPr>
          <w:rFonts w:ascii="Times New Roman" w:hAnsi="Times New Roman" w:eastAsia="黑体" w:cs="Times New Roman"/>
          <w:b/>
          <w:sz w:val="24"/>
        </w:rPr>
        <w:t>四、 候选人姓名</w:t>
      </w:r>
    </w:p>
    <w:p w14:paraId="71391D44">
      <w:pPr>
        <w:spacing w:line="360" w:lineRule="auto"/>
        <w:rPr>
          <w:rFonts w:ascii="Times New Roman" w:hAnsi="Times New Roman" w:eastAsia="黑体" w:cs="Times New Roman"/>
          <w:b/>
          <w:sz w:val="24"/>
        </w:rPr>
      </w:pPr>
      <w:r>
        <w:rPr>
          <w:rFonts w:hint="eastAsia" w:ascii="宋体" w:hAnsi="宋体" w:eastAsia="宋体" w:cs="宋体"/>
          <w:sz w:val="24"/>
        </w:rPr>
        <w:t>宿程远，卢宇翔，陈孟林，黄智，陈生龙</w:t>
      </w:r>
    </w:p>
    <w:p w14:paraId="3B82C9F1">
      <w:pPr>
        <w:spacing w:line="360" w:lineRule="auto"/>
        <w:rPr>
          <w:rFonts w:ascii="Times New Roman" w:hAnsi="Times New Roman" w:eastAsia="黑体" w:cs="Times New Roman"/>
          <w:b/>
          <w:sz w:val="24"/>
        </w:rPr>
      </w:pPr>
      <w:r>
        <w:rPr>
          <w:rFonts w:ascii="Times New Roman" w:hAnsi="Times New Roman" w:eastAsia="黑体" w:cs="Times New Roman"/>
          <w:b/>
          <w:sz w:val="24"/>
        </w:rPr>
        <w:t>五、候选组织名称</w:t>
      </w:r>
    </w:p>
    <w:p w14:paraId="1DBCC6B2">
      <w:pPr>
        <w:spacing w:line="360" w:lineRule="auto"/>
        <w:rPr>
          <w:rFonts w:ascii="Times New Roman" w:eastAsia="黑体"/>
          <w:b/>
          <w:sz w:val="24"/>
        </w:rPr>
      </w:pPr>
      <w:r>
        <w:rPr>
          <w:rFonts w:hint="eastAsia" w:ascii="宋体" w:hAnsi="宋体" w:eastAsia="宋体" w:cs="宋体"/>
          <w:sz w:val="24"/>
        </w:rPr>
        <w:t>广西</w:t>
      </w:r>
      <w:r>
        <w:rPr>
          <w:rFonts w:ascii="宋体" w:hAnsi="宋体" w:eastAsia="宋体" w:cs="宋体"/>
          <w:sz w:val="24"/>
        </w:rPr>
        <w:t>师范大学</w:t>
      </w:r>
    </w:p>
    <w:p w14:paraId="3876E687">
      <w:pPr>
        <w:autoSpaceDE w:val="0"/>
        <w:autoSpaceDN w:val="0"/>
        <w:adjustRightInd w:val="0"/>
        <w:snapToGrid w:val="0"/>
        <w:spacing w:before="156" w:beforeLines="50" w:line="312" w:lineRule="auto"/>
        <w:rPr>
          <w:rFonts w:hint="eastAsia" w:ascii="Times New Roman" w:hAnsi="Times New Roman" w:cs="Times New Roman"/>
        </w:rPr>
      </w:pPr>
      <w:bookmarkStart w:id="15" w:name="_Toc72832314"/>
      <w:bookmarkEnd w:id="15"/>
      <w:bookmarkStart w:id="16" w:name="_Toc70090787"/>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5FFD2"/>
    <w:multiLevelType w:val="singleLevel"/>
    <w:tmpl w:val="8885FFD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Yjg1YmE0ZDNhMzU4NGQ2ZWZlN2Q4MTI2NTI3ZWMifQ=="/>
  </w:docVars>
  <w:rsids>
    <w:rsidRoot w:val="4DD264DD"/>
    <w:rsid w:val="0034156F"/>
    <w:rsid w:val="00812C62"/>
    <w:rsid w:val="0090662E"/>
    <w:rsid w:val="00BE0049"/>
    <w:rsid w:val="00E70EC8"/>
    <w:rsid w:val="034A492C"/>
    <w:rsid w:val="04AC3F9B"/>
    <w:rsid w:val="063A1D84"/>
    <w:rsid w:val="07DC7F5D"/>
    <w:rsid w:val="08A136D0"/>
    <w:rsid w:val="0ADD261E"/>
    <w:rsid w:val="0D077DD0"/>
    <w:rsid w:val="0D300D24"/>
    <w:rsid w:val="0E5011DB"/>
    <w:rsid w:val="118F73BD"/>
    <w:rsid w:val="12E106A8"/>
    <w:rsid w:val="14BC0442"/>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60572E"/>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Plain Text"/>
    <w:basedOn w:val="1"/>
    <w:qFormat/>
    <w:uiPriority w:val="0"/>
    <w:rPr>
      <w:rFonts w:ascii="宋体" w:hAnsi="Courier New" w:eastAsia="宋体"/>
      <w:szCs w:val="21"/>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0"/>
    <w:pPr>
      <w:spacing w:before="240" w:after="60"/>
      <w:jc w:val="center"/>
      <w:outlineLvl w:val="0"/>
    </w:pPr>
    <w:rPr>
      <w:rFonts w:ascii="Cambria" w:hAnsi="Cambria" w:eastAsia="宋体" w:cs="Times New Roman"/>
      <w:b/>
      <w:bCs/>
      <w:szCs w:val="32"/>
    </w:rPr>
  </w:style>
  <w:style w:type="character" w:customStyle="1" w:styleId="9">
    <w:name w:val="17"/>
    <w:basedOn w:val="8"/>
    <w:qFormat/>
    <w:uiPriority w:val="0"/>
    <w:rPr>
      <w:rFonts w:hint="eastAsia" w:ascii="仿宋_GB2312" w:eastAsia="仿宋_GB2312"/>
      <w:b/>
      <w:bCs/>
      <w:kern w:val="44"/>
      <w:sz w:val="44"/>
      <w:szCs w:val="44"/>
    </w:rPr>
  </w:style>
  <w:style w:type="character" w:customStyle="1" w:styleId="10">
    <w:name w:val="页眉 字符"/>
    <w:basedOn w:val="8"/>
    <w:link w:val="5"/>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GXNU</Company>
  <Pages>4</Pages>
  <Words>593</Words>
  <Characters>1741</Characters>
  <Lines>17</Lines>
  <Paragraphs>4</Paragraphs>
  <TotalTime>15</TotalTime>
  <ScaleCrop>false</ScaleCrop>
  <LinksUpToDate>false</LinksUpToDate>
  <CharactersWithSpaces>1928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2018-04-27T02:51:00Z</dcterms:created>
  <dc:creator>amd</dc:creator>
  <cp:lastModifiedBy>定风波</cp:lastModifiedBy>
  <dcterms:modified xsi:type="dcterms:W3CDTF">2025-08-08T06:54:23Z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eyJoZGlkIjoiNjA2ZTM0M2M2MmUzNTU0NjA1YWQ4MzVkZTVkNjFjNzAiLCJ1c2VySWQiOiIxNTQ4MTQwMTI1In0=</vt:lpwstr>
  </property>
</Properties>
</file>